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11FB5" w14:textId="77777777" w:rsidR="006559C1" w:rsidRDefault="00000000">
      <w:pPr>
        <w:spacing w:line="257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 xml:space="preserve">Multi-Cohort Comprehensive Analysis Unveiling the Clinical Value and Therapeutic Effect of </w:t>
      </w:r>
      <w:r>
        <w:rPr>
          <w:rFonts w:ascii="Times New Roman" w:eastAsia="宋体" w:hAnsi="Times New Roman" w:cs="Times New Roman"/>
          <w:b/>
          <w:bCs/>
          <w:i/>
          <w:iCs/>
          <w:szCs w:val="21"/>
        </w:rPr>
        <w:t>GNAL</w:t>
      </w:r>
      <w:r>
        <w:rPr>
          <w:rFonts w:ascii="Times New Roman" w:eastAsia="宋体" w:hAnsi="Times New Roman" w:cs="Times New Roman"/>
          <w:b/>
          <w:bCs/>
          <w:szCs w:val="21"/>
        </w:rPr>
        <w:t xml:space="preserve"> in Glioma</w:t>
      </w:r>
    </w:p>
    <w:p w14:paraId="198A2F1C" w14:textId="77777777" w:rsidR="006559C1" w:rsidRDefault="00000000">
      <w:pPr>
        <w:tabs>
          <w:tab w:val="left" w:pos="1368"/>
        </w:tabs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The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forest plots of univariate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analysis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from CGGA325 </w:t>
      </w:r>
      <w:r>
        <w:rPr>
          <w:rFonts w:ascii="Times New Roman" w:eastAsia="宋体" w:hAnsi="Times New Roman" w:hint="eastAsia"/>
          <w:color w:val="000000" w:themeColor="text1"/>
          <w:szCs w:val="21"/>
        </w:rPr>
        <w:t>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A</w:t>
      </w:r>
      <w:r>
        <w:rPr>
          <w:rFonts w:ascii="Times New Roman" w:eastAsia="宋体" w:hAnsi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, CGGA693 </w:t>
      </w:r>
      <w:r>
        <w:rPr>
          <w:rFonts w:ascii="Times New Roman" w:eastAsia="宋体" w:hAnsi="Times New Roman"/>
          <w:color w:val="000000" w:themeColor="text1"/>
          <w:szCs w:val="21"/>
        </w:rPr>
        <w:t>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B</w:t>
      </w:r>
      <w:r>
        <w:rPr>
          <w:rFonts w:ascii="Times New Roman" w:eastAsia="宋体" w:hAnsi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, and TCGA-</w:t>
      </w:r>
      <w:r>
        <w:rPr>
          <w:rFonts w:ascii="Times New Roman" w:eastAsia="宋体" w:hAnsi="Times New Roman" w:cs="Times New Roman"/>
          <w:szCs w:val="21"/>
        </w:rPr>
        <w:t xml:space="preserve">GBMLGG </w:t>
      </w:r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b/>
          <w:bCs/>
          <w:szCs w:val="21"/>
        </w:rPr>
        <w:t>C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 xml:space="preserve"> cohorts.</w:t>
      </w:r>
      <w:r>
        <w:rPr>
          <w:rFonts w:ascii="Times New Roman" w:eastAsia="等线" w:hAnsi="Times New Roman" w:cs="Times New Roman"/>
          <w:szCs w:val="21"/>
        </w:rPr>
        <w:t xml:space="preserve"> 95% CI</w:t>
      </w:r>
      <w:r>
        <w:rPr>
          <w:rFonts w:ascii="Times New Roman" w:eastAsia="宋体" w:hAnsi="Times New Roman" w:cs="Times New Roman"/>
          <w:szCs w:val="21"/>
        </w:rPr>
        <w:t>: 95% confidence intervals.</w:t>
      </w:r>
      <w:bookmarkStart w:id="0" w:name="_Hlk129293548"/>
      <w:bookmarkEnd w:id="0"/>
    </w:p>
    <w:p w14:paraId="653DFC2B" w14:textId="77777777" w:rsidR="006559C1" w:rsidRDefault="006559C1">
      <w:pPr>
        <w:tabs>
          <w:tab w:val="left" w:pos="1368"/>
        </w:tabs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15FFE3E7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2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The relationship between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and clinicopathological characteristics (including gender, age, grade,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IDH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mutation status, 1p/19q codeletion status, and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IDH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mutation comb</w:t>
      </w:r>
      <w:r>
        <w:rPr>
          <w:rFonts w:ascii="Times New Roman" w:eastAsia="宋体" w:hAnsi="Times New Roman" w:cs="Times New Roman"/>
          <w:szCs w:val="21"/>
        </w:rPr>
        <w:t>ined with 1p/19q codeletion status (</w:t>
      </w:r>
      <w:r>
        <w:rPr>
          <w:rFonts w:ascii="Times New Roman" w:eastAsia="宋体" w:hAnsi="Times New Roman" w:cs="Times New Roman"/>
          <w:i/>
          <w:iCs/>
          <w:szCs w:val="21"/>
        </w:rPr>
        <w:t>IDH</w:t>
      </w:r>
      <w:r>
        <w:rPr>
          <w:rFonts w:ascii="Times New Roman" w:eastAsia="宋体" w:hAnsi="Times New Roman" w:cs="Times New Roman"/>
          <w:szCs w:val="21"/>
        </w:rPr>
        <w:t xml:space="preserve">-1p/19q status)) in CGGA693 </w:t>
      </w:r>
      <w:r>
        <w:rPr>
          <w:rFonts w:ascii="Times New Roman" w:eastAsia="宋体" w:hAnsi="Times New Roman" w:hint="eastAsia"/>
          <w:szCs w:val="21"/>
        </w:rPr>
        <w:t>(</w:t>
      </w:r>
      <w:r>
        <w:rPr>
          <w:rFonts w:ascii="Times New Roman" w:eastAsia="宋体" w:hAnsi="Times New Roman"/>
          <w:b/>
          <w:bCs/>
          <w:szCs w:val="21"/>
        </w:rPr>
        <w:t>A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 xml:space="preserve"> and TCGA-GBMLGG </w:t>
      </w:r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b/>
          <w:bCs/>
          <w:szCs w:val="21"/>
        </w:rPr>
        <w:t>B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 xml:space="preserve"> cohorts. </w:t>
      </w:r>
      <w:proofErr w:type="spellStart"/>
      <w:r>
        <w:rPr>
          <w:rFonts w:ascii="Times New Roman" w:eastAsia="宋体" w:hAnsi="Times New Roman" w:cs="Times New Roman"/>
          <w:szCs w:val="21"/>
        </w:rPr>
        <w:t>Wt</w:t>
      </w:r>
      <w:proofErr w:type="spellEnd"/>
      <w:r>
        <w:rPr>
          <w:rFonts w:ascii="Times New Roman" w:eastAsia="宋体" w:hAnsi="Times New Roman" w:cs="Times New Roman"/>
          <w:szCs w:val="21"/>
        </w:rPr>
        <w:t>: wildtype; Mut: mutation; Mut/Codel:</w:t>
      </w:r>
      <w:r>
        <w:rPr>
          <w:szCs w:val="21"/>
        </w:rPr>
        <w:t xml:space="preserve"> </w:t>
      </w:r>
      <w:r>
        <w:rPr>
          <w:rFonts w:ascii="Times New Roman" w:eastAsia="宋体" w:hAnsi="Times New Roman" w:cs="Times New Roman"/>
          <w:i/>
          <w:iCs/>
          <w:szCs w:val="21"/>
        </w:rPr>
        <w:t>IDH</w:t>
      </w:r>
      <w:r>
        <w:rPr>
          <w:rFonts w:ascii="Times New Roman" w:eastAsia="宋体" w:hAnsi="Times New Roman" w:cs="Times New Roman"/>
          <w:szCs w:val="21"/>
        </w:rPr>
        <w:t xml:space="preserve"> mutation combined with 1p/19q codeletion; Mut/Non-</w:t>
      </w:r>
      <w:proofErr w:type="spellStart"/>
      <w:r>
        <w:rPr>
          <w:rFonts w:ascii="Times New Roman" w:eastAsia="宋体" w:hAnsi="Times New Roman" w:cs="Times New Roman"/>
          <w:szCs w:val="21"/>
        </w:rPr>
        <w:t>codel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: </w:t>
      </w:r>
      <w:r>
        <w:rPr>
          <w:rFonts w:ascii="Times New Roman" w:eastAsia="宋体" w:hAnsi="Times New Roman" w:cs="Times New Roman"/>
          <w:i/>
          <w:iCs/>
          <w:szCs w:val="21"/>
        </w:rPr>
        <w:t>IDH</w:t>
      </w:r>
      <w:r>
        <w:rPr>
          <w:rFonts w:ascii="Times New Roman" w:eastAsia="宋体" w:hAnsi="Times New Roman" w:cs="Times New Roman"/>
          <w:szCs w:val="21"/>
        </w:rPr>
        <w:t xml:space="preserve"> mutation combined with 1p/19q non-codeletion. The 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-</w:t>
      </w:r>
      <w:r>
        <w:rPr>
          <w:rFonts w:ascii="Times New Roman" w:eastAsia="等线" w:hAnsi="Times New Roman" w:cs="Times New Roman"/>
          <w:kern w:val="0"/>
          <w:szCs w:val="21"/>
        </w:rPr>
        <w:t>value</w:t>
      </w:r>
      <w:r>
        <w:rPr>
          <w:rFonts w:ascii="Times New Roman" w:eastAsia="宋体" w:hAnsi="Times New Roman" w:cs="Times New Roman"/>
          <w:szCs w:val="21"/>
        </w:rPr>
        <w:t xml:space="preserve"> is indicated in the figure.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ns: no significance; 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&lt;​0.05; ***: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&lt;​0.001; ****: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&lt;​0.0001.</w:t>
      </w:r>
    </w:p>
    <w:p w14:paraId="14D6C613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0E798060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Supplementary Fig. 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The somatic mutant landscape in wild-type and mutation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groups based on Brain Tumor PDXs (Mayo Clinic, Clin Cancer Res 2020) cohort in</w:t>
      </w:r>
      <w:r>
        <w:rPr>
          <w:szCs w:val="21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000000" w:themeColor="text1"/>
          <w:szCs w:val="21"/>
        </w:rPr>
        <w:t>CBioPortal</w:t>
      </w:r>
      <w:proofErr w:type="spellEnd"/>
      <w:r>
        <w:rPr>
          <w:rFonts w:ascii="Times New Roman" w:eastAsia="宋体" w:hAnsi="Times New Roman" w:cs="Times New Roman"/>
          <w:color w:val="000000" w:themeColor="text1"/>
          <w:szCs w:val="21"/>
        </w:rPr>
        <w:t>. PDX: Patient-derived tumor xenograft.</w:t>
      </w:r>
      <w:r>
        <w:rPr>
          <w:rFonts w:ascii="Times New Roman" w:eastAsia="宋体" w:hAnsi="Times New Roman" w:cs="Times New Roman"/>
          <w:szCs w:val="21"/>
        </w:rPr>
        <w:t xml:space="preserve"> The 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-</w:t>
      </w:r>
      <w:r>
        <w:rPr>
          <w:rFonts w:ascii="Times New Roman" w:eastAsia="等线" w:hAnsi="Times New Roman" w:cs="Times New Roman"/>
          <w:kern w:val="0"/>
          <w:szCs w:val="21"/>
        </w:rPr>
        <w:t>value</w:t>
      </w:r>
      <w:r>
        <w:rPr>
          <w:rFonts w:ascii="Times New Roman" w:eastAsia="宋体" w:hAnsi="Times New Roman" w:cs="Times New Roman"/>
          <w:szCs w:val="21"/>
        </w:rPr>
        <w:t xml:space="preserve"> is indicated in the figure.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&lt;0.05.</w:t>
      </w:r>
    </w:p>
    <w:p w14:paraId="663EA290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0BEF574A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The GO-CC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), GO-MF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), and KEGG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 pathway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enrichment analyses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in TCGA-LGG. The GO-CC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), GO-MF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E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), and KEGG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F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 pathway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enrichment analyses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in TCGA-GBM.</w:t>
      </w:r>
      <w:r>
        <w:rPr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GO-CC: gene ontology-cellular component; GO-MF: gene ontology-molecular function; KEGG:</w:t>
      </w:r>
      <w:r>
        <w:rPr>
          <w:color w:val="000000" w:themeColor="text1"/>
          <w:szCs w:val="21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000000" w:themeColor="text1"/>
          <w:szCs w:val="21"/>
        </w:rPr>
        <w:t>kyoto</w:t>
      </w:r>
      <w:proofErr w:type="spellEnd"/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encyclopedia of genes and genomes</w:t>
      </w:r>
      <w:r>
        <w:rPr>
          <w:rFonts w:ascii="Times New Roman" w:eastAsia="宋体" w:hAnsi="Times New Roman" w:cs="Times New Roman"/>
          <w:szCs w:val="21"/>
        </w:rPr>
        <w:t>.</w:t>
      </w:r>
    </w:p>
    <w:p w14:paraId="77F477B7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78A18C68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5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The correlations between </w:t>
      </w:r>
      <w:r>
        <w:rPr>
          <w:rFonts w:ascii="Times New Roman" w:eastAsia="宋体" w:hAnsi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and </w:t>
      </w:r>
      <w:proofErr w:type="spellStart"/>
      <w:r>
        <w:rPr>
          <w:rFonts w:ascii="Times New Roman" w:eastAsia="宋体" w:hAnsi="Times New Roman"/>
          <w:color w:val="000000" w:themeColor="text1"/>
          <w:szCs w:val="21"/>
        </w:rPr>
        <w:t>ImmueScore</w:t>
      </w:r>
      <w:proofErr w:type="spellEnd"/>
      <w:r>
        <w:rPr>
          <w:rFonts w:ascii="Times New Roman" w:eastAsia="宋体" w:hAnsi="Times New Roman"/>
          <w:color w:val="000000" w:themeColor="text1"/>
          <w:szCs w:val="21"/>
        </w:rPr>
        <w:t xml:space="preserve">, </w:t>
      </w:r>
      <w:proofErr w:type="spellStart"/>
      <w:r>
        <w:rPr>
          <w:rFonts w:ascii="Times New Roman" w:eastAsia="宋体" w:hAnsi="Times New Roman"/>
          <w:color w:val="000000" w:themeColor="text1"/>
          <w:szCs w:val="21"/>
        </w:rPr>
        <w:t>StromalScore</w:t>
      </w:r>
      <w:proofErr w:type="spellEnd"/>
      <w:r>
        <w:rPr>
          <w:rFonts w:ascii="Times New Roman" w:eastAsia="宋体" w:hAnsi="Times New Roman"/>
          <w:color w:val="000000" w:themeColor="text1"/>
          <w:szCs w:val="21"/>
        </w:rPr>
        <w:t xml:space="preserve">, and </w:t>
      </w:r>
      <w:proofErr w:type="spellStart"/>
      <w:r>
        <w:rPr>
          <w:rFonts w:ascii="Times New Roman" w:eastAsia="宋体" w:hAnsi="Times New Roman"/>
          <w:color w:val="000000" w:themeColor="text1"/>
          <w:szCs w:val="21"/>
        </w:rPr>
        <w:t>EstimateScore</w:t>
      </w:r>
      <w:proofErr w:type="spellEnd"/>
      <w:r>
        <w:rPr>
          <w:rFonts w:ascii="Times New Roman" w:eastAsia="宋体" w:hAnsi="Times New Roman"/>
          <w:color w:val="000000" w:themeColor="text1"/>
          <w:szCs w:val="21"/>
        </w:rPr>
        <w:t xml:space="preserve"> from CGGA693 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A</w:t>
      </w:r>
      <w:r>
        <w:rPr>
          <w:rFonts w:ascii="Times New Roman" w:eastAsia="宋体" w:hAnsi="Times New Roman"/>
          <w:color w:val="000000" w:themeColor="text1"/>
          <w:szCs w:val="21"/>
        </w:rPr>
        <w:t>)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and TCGA-GBML</w:t>
      </w:r>
      <w:r>
        <w:rPr>
          <w:rFonts w:ascii="Times New Roman" w:eastAsia="宋体" w:hAnsi="Times New Roman"/>
          <w:color w:val="000000" w:themeColor="text1"/>
          <w:szCs w:val="21"/>
        </w:rPr>
        <w:t>GG 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B</w:t>
      </w:r>
      <w:r>
        <w:rPr>
          <w:rFonts w:ascii="Times New Roman" w:eastAsia="宋体" w:hAnsi="Times New Roman"/>
          <w:color w:val="000000" w:themeColor="text1"/>
          <w:szCs w:val="21"/>
        </w:rPr>
        <w:t>) cohorts.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A heatmap of correlations between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 xml:space="preserve">GNAL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and immune cells from </w:t>
      </w:r>
      <w:r>
        <w:rPr>
          <w:rFonts w:ascii="Times New Roman" w:eastAsia="宋体" w:hAnsi="Times New Roman"/>
          <w:color w:val="000000" w:themeColor="text1"/>
          <w:szCs w:val="21"/>
        </w:rPr>
        <w:t>CGGA693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and TCGA-GBML</w:t>
      </w:r>
      <w:r>
        <w:rPr>
          <w:rFonts w:ascii="Times New Roman" w:eastAsia="宋体" w:hAnsi="Times New Roman"/>
          <w:color w:val="000000" w:themeColor="text1"/>
          <w:szCs w:val="21"/>
        </w:rPr>
        <w:t>GG cohorts using the EPIC algorithm.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) The proportion </w:t>
      </w:r>
      <w:r>
        <w:rPr>
          <w:rFonts w:ascii="Times New Roman" w:eastAsia="宋体" w:hAnsi="Times New Roman" w:cs="Times New Roman"/>
          <w:szCs w:val="21"/>
        </w:rPr>
        <w:t>of 22 types of tumor-infiltrating immune cells from CGGA693 and TCGA-GBMLGG cohorts</w:t>
      </w:r>
      <w:r>
        <w:rPr>
          <w:rFonts w:ascii="Times New Roman" w:eastAsia="宋体" w:hAnsi="Times New Roman"/>
          <w:szCs w:val="21"/>
        </w:rPr>
        <w:t xml:space="preserve"> using the CIBERSORT algorithm.</w:t>
      </w:r>
      <w:r>
        <w:rPr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The 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-</w:t>
      </w:r>
      <w:r>
        <w:rPr>
          <w:rFonts w:ascii="Times New Roman" w:eastAsia="等线" w:hAnsi="Times New Roman" w:cs="Times New Roman"/>
          <w:kern w:val="0"/>
          <w:szCs w:val="21"/>
        </w:rPr>
        <w:t>value</w:t>
      </w:r>
      <w:r>
        <w:rPr>
          <w:rFonts w:ascii="Times New Roman" w:eastAsia="宋体" w:hAnsi="Times New Roman" w:cs="Times New Roman"/>
          <w:szCs w:val="21"/>
        </w:rPr>
        <w:t xml:space="preserve"> is indicated in the figure.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ns: no significance; ****: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&lt;​0.0001.</w:t>
      </w:r>
    </w:p>
    <w:p w14:paraId="68946565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2002B806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6 </w:t>
      </w:r>
      <w:r>
        <w:rPr>
          <w:rFonts w:ascii="Times New Roman" w:eastAsia="宋体" w:hAnsi="Times New Roman"/>
          <w:color w:val="000000" w:themeColor="text1"/>
          <w:szCs w:val="21"/>
        </w:rPr>
        <w:t>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A</w:t>
      </w:r>
      <w:r>
        <w:rPr>
          <w:rFonts w:ascii="Times New Roman" w:eastAsia="宋体" w:hAnsi="Times New Roman"/>
          <w:color w:val="000000" w:themeColor="text1"/>
          <w:szCs w:val="21"/>
        </w:rPr>
        <w:t>) The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correlations between </w:t>
      </w:r>
      <w:r>
        <w:rPr>
          <w:rFonts w:ascii="Times New Roman" w:eastAsia="宋体" w:hAnsi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and 22 </w:t>
      </w:r>
      <w:r>
        <w:rPr>
          <w:rFonts w:ascii="Times New Roman" w:eastAsia="宋体" w:hAnsi="Times New Roman" w:cs="Times New Roman"/>
          <w:color w:val="000000"/>
          <w:szCs w:val="21"/>
        </w:rPr>
        <w:t>types of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tumor-infiltrating immune cells from CGGA693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and TCGA-GBML</w:t>
      </w:r>
      <w:r>
        <w:rPr>
          <w:rFonts w:ascii="Times New Roman" w:eastAsia="宋体" w:hAnsi="Times New Roman"/>
          <w:color w:val="000000" w:themeColor="text1"/>
          <w:szCs w:val="21"/>
        </w:rPr>
        <w:t>GG cohorts using the CIBERSORT algorithm. 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B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) Correlation between </w:t>
      </w:r>
      <w:r>
        <w:rPr>
          <w:rFonts w:ascii="Times New Roman" w:eastAsia="宋体" w:hAnsi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expression and immune cells in LGG and GBM from TIMER database. 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C</w:t>
      </w:r>
      <w:r>
        <w:rPr>
          <w:rFonts w:ascii="Times New Roman" w:eastAsia="宋体" w:hAnsi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A Venn diagram of screening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immune-related </w:t>
      </w:r>
      <w:r>
        <w:rPr>
          <w:rFonts w:ascii="Times New Roman" w:eastAsia="宋体" w:hAnsi="Times New Roman" w:cs="Times New Roman"/>
          <w:szCs w:val="21"/>
        </w:rPr>
        <w:t>genes.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LGG: low-grade gliomas; GBM: glioblastoma.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The 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-</w:t>
      </w:r>
      <w:r>
        <w:rPr>
          <w:rFonts w:ascii="Times New Roman" w:eastAsia="等线" w:hAnsi="Times New Roman" w:cs="Times New Roman"/>
          <w:kern w:val="0"/>
          <w:szCs w:val="21"/>
        </w:rPr>
        <w:t>value</w:t>
      </w:r>
      <w:r>
        <w:rPr>
          <w:rFonts w:ascii="Times New Roman" w:eastAsia="宋体" w:hAnsi="Times New Roman" w:cs="Times New Roman"/>
          <w:szCs w:val="21"/>
        </w:rPr>
        <w:t xml:space="preserve"> is indicated in the figure.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ns: no significance; 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&lt;​0.05; 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&lt;​0.01; ***: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&lt;​0.0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01</w:t>
      </w:r>
      <w:r>
        <w:rPr>
          <w:rFonts w:ascii="Times New Roman" w:eastAsia="宋体" w:hAnsi="Times New Roman" w:cs="Times New Roman"/>
          <w:szCs w:val="21"/>
        </w:rPr>
        <w:t>.</w:t>
      </w:r>
    </w:p>
    <w:p w14:paraId="235A79F9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61061D59" w14:textId="77777777" w:rsidR="006559C1" w:rsidRDefault="00000000">
      <w:pPr>
        <w:widowControl/>
        <w:spacing w:line="257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7</w:t>
      </w:r>
      <w:r>
        <w:rPr>
          <w:rFonts w:ascii="Times New Roman" w:eastAsia="宋体" w:hAnsi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 correlation heatmap</w:t>
      </w:r>
      <w:r>
        <w:rPr>
          <w:rFonts w:ascii="Times New Roman" w:eastAsia="宋体" w:hAnsi="Times New Roman"/>
          <w:szCs w:val="21"/>
        </w:rPr>
        <w:t xml:space="preserve"> of correlations between </w:t>
      </w:r>
      <w:r>
        <w:rPr>
          <w:rFonts w:ascii="Times New Roman" w:eastAsia="宋体" w:hAnsi="Times New Roman"/>
          <w:i/>
          <w:iCs/>
          <w:szCs w:val="21"/>
        </w:rPr>
        <w:t>GNAL</w:t>
      </w:r>
      <w:r>
        <w:rPr>
          <w:rFonts w:ascii="Times New Roman" w:eastAsia="宋体" w:hAnsi="Times New Roman"/>
          <w:szCs w:val="21"/>
        </w:rPr>
        <w:t xml:space="preserve"> and </w:t>
      </w:r>
      <w:r>
        <w:rPr>
          <w:rFonts w:ascii="Times New Roman" w:hAnsi="Times New Roman" w:cs="Times New Roman"/>
          <w:szCs w:val="21"/>
        </w:rPr>
        <w:t xml:space="preserve">highly </w:t>
      </w:r>
      <w:r>
        <w:rPr>
          <w:rFonts w:ascii="Times New Roman" w:eastAsia="宋体" w:hAnsi="Times New Roman" w:cs="Times New Roman"/>
          <w:szCs w:val="21"/>
        </w:rPr>
        <w:t>immune-related genes</w:t>
      </w:r>
      <w:r>
        <w:rPr>
          <w:rFonts w:ascii="Times New Roman" w:eastAsia="宋体" w:hAnsi="Times New Roman"/>
          <w:szCs w:val="21"/>
        </w:rPr>
        <w:t xml:space="preserve"> from CGGA693</w:t>
      </w:r>
      <w:r>
        <w:rPr>
          <w:rFonts w:ascii="Times New Roman" w:hAnsi="Times New Roman" w:cs="Times New Roman"/>
          <w:szCs w:val="21"/>
        </w:rPr>
        <w:t xml:space="preserve"> and TCGA-GBML</w:t>
      </w:r>
      <w:r>
        <w:rPr>
          <w:rFonts w:ascii="Times New Roman" w:eastAsia="宋体" w:hAnsi="Times New Roman"/>
          <w:szCs w:val="21"/>
        </w:rPr>
        <w:t>GG cohorts.</w:t>
      </w:r>
    </w:p>
    <w:p w14:paraId="42A0BBA5" w14:textId="77777777" w:rsidR="006559C1" w:rsidRDefault="006559C1">
      <w:pPr>
        <w:widowControl/>
        <w:spacing w:line="257" w:lineRule="auto"/>
        <w:rPr>
          <w:rFonts w:ascii="Times New Roman" w:eastAsia="宋体" w:hAnsi="Times New Roman"/>
          <w:szCs w:val="21"/>
        </w:rPr>
      </w:pPr>
    </w:p>
    <w:p w14:paraId="2B4B7A64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8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The relationship between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mRNA levels and abundance of </w:t>
      </w:r>
      <w:proofErr w:type="spellStart"/>
      <w:r>
        <w:rPr>
          <w:rFonts w:ascii="Times New Roman" w:eastAsia="宋体" w:hAnsi="Times New Roman" w:cs="Times New Roman"/>
          <w:color w:val="000000" w:themeColor="text1"/>
          <w:szCs w:val="21"/>
        </w:rPr>
        <w:t>immunoinhibitors</w:t>
      </w:r>
      <w:proofErr w:type="spellEnd"/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>
        <w:rPr>
          <w:rFonts w:ascii="Times New Roman" w:eastAsia="宋体" w:hAnsi="Times New Roman"/>
          <w:color w:val="000000" w:themeColor="text1"/>
          <w:szCs w:val="21"/>
        </w:rPr>
        <w:t>(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>A</w:t>
      </w:r>
      <w:r>
        <w:rPr>
          <w:rFonts w:ascii="Times New Roman" w:eastAsia="宋体" w:hAnsi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, </w:t>
      </w:r>
      <w:proofErr w:type="spellStart"/>
      <w:r>
        <w:rPr>
          <w:rFonts w:ascii="Times New Roman" w:eastAsia="宋体" w:hAnsi="Times New Roman" w:cs="Times New Roman"/>
          <w:color w:val="000000" w:themeColor="text1"/>
          <w:szCs w:val="21"/>
        </w:rPr>
        <w:t>immuno</w:t>
      </w:r>
      <w:r>
        <w:rPr>
          <w:rFonts w:ascii="Times New Roman" w:eastAsia="宋体" w:hAnsi="Times New Roman" w:cs="Times New Roman"/>
          <w:szCs w:val="21"/>
        </w:rPr>
        <w:t>stimulators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b/>
          <w:bCs/>
          <w:szCs w:val="21"/>
        </w:rPr>
        <w:t>B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, MHC molecules (</w:t>
      </w:r>
      <w:r>
        <w:rPr>
          <w:rFonts w:ascii="Times New Roman" w:eastAsia="宋体" w:hAnsi="Times New Roman" w:cs="Times New Roman"/>
          <w:b/>
          <w:bCs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), chemokine receptors (</w:t>
      </w:r>
      <w:r>
        <w:rPr>
          <w:rFonts w:ascii="Times New Roman" w:eastAsia="宋体" w:hAnsi="Times New Roman" w:cs="Times New Roman"/>
          <w:b/>
          <w:bCs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 xml:space="preserve">), </w:t>
      </w:r>
      <w:r>
        <w:rPr>
          <w:rFonts w:ascii="Times New Roman" w:eastAsia="宋体" w:hAnsi="Times New Roman" w:cs="Times New Roman"/>
          <w:szCs w:val="21"/>
        </w:rPr>
        <w:lastRenderedPageBreak/>
        <w:t>chemokines (</w:t>
      </w:r>
      <w:r>
        <w:rPr>
          <w:rFonts w:ascii="Times New Roman" w:eastAsia="宋体" w:hAnsi="Times New Roman" w:cs="Times New Roman"/>
          <w:b/>
          <w:bCs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), and TILs (</w:t>
      </w:r>
      <w:r>
        <w:rPr>
          <w:rFonts w:ascii="Times New Roman" w:eastAsia="宋体" w:hAnsi="Times New Roman" w:cs="Times New Roman"/>
          <w:b/>
          <w:b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) in LGG and GBM using TISIDB.</w:t>
      </w:r>
      <w:r>
        <w:rPr>
          <w:szCs w:val="21"/>
        </w:rPr>
        <w:t xml:space="preserve"> </w:t>
      </w:r>
      <w:r>
        <w:rPr>
          <w:rFonts w:ascii="Times New Roman" w:hAnsi="Times New Roman" w:cs="Times New Roman"/>
          <w:w w:val="105"/>
          <w:szCs w:val="21"/>
        </w:rPr>
        <w:t xml:space="preserve">MHC: major histocompatibility complex; </w:t>
      </w:r>
      <w:r>
        <w:rPr>
          <w:rFonts w:ascii="Times New Roman" w:eastAsia="宋体" w:hAnsi="Times New Roman" w:cs="Times New Roman"/>
          <w:szCs w:val="21"/>
        </w:rPr>
        <w:t xml:space="preserve">TIL: </w:t>
      </w:r>
      <w:r>
        <w:rPr>
          <w:rFonts w:ascii="Times New Roman" w:hAnsi="Times New Roman" w:cs="Times New Roman"/>
          <w:w w:val="105"/>
          <w:szCs w:val="21"/>
        </w:rPr>
        <w:t>Tumor-infiltrating lymphocytes;</w:t>
      </w:r>
      <w:r>
        <w:rPr>
          <w:rFonts w:ascii="Times New Roman" w:eastAsia="宋体" w:hAnsi="Times New Roman" w:cs="Times New Roman"/>
          <w:szCs w:val="21"/>
        </w:rPr>
        <w:t xml:space="preserve"> LGG: low-grade gliomas; GBM: glioblastoma.</w:t>
      </w:r>
    </w:p>
    <w:p w14:paraId="09A312D1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50159026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color w:val="000000" w:themeColor="text1"/>
          <w:szCs w:val="21"/>
        </w:rPr>
        <w:t>Fig</w:t>
      </w:r>
      <w:r>
        <w:rPr>
          <w:rFonts w:ascii="Times New Roman" w:eastAsia="宋体" w:hAnsi="Times New Roman"/>
          <w:b/>
          <w:bCs/>
          <w:color w:val="000000" w:themeColor="text1"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9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Differential putative chemotherapeutic and immunotherapeutic response. Submap analysis manifested that </w:t>
      </w:r>
      <w:r>
        <w:rPr>
          <w:rFonts w:ascii="Times New Roman" w:eastAsia="宋体" w:hAnsi="Times New Roman" w:cs="Times New Roman"/>
          <w:i/>
          <w:iCs/>
          <w:color w:val="000000" w:themeColor="text1"/>
          <w:szCs w:val="21"/>
        </w:rPr>
        <w:t>GNAL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low expression group could be more sensitive to the anti-PD-1 therapy in CGGG693 cohort (</w:t>
      </w: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. The box plots of the estimated IC50 for 10 selected drugs are shown in CGGG693 cohort (</w:t>
      </w:r>
      <w:r>
        <w:rPr>
          <w:rFonts w:ascii="Times New Roman" w:eastAsia="宋体" w:hAnsi="Times New Roman" w:cs="Times New Roman"/>
          <w:b/>
          <w:bCs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 xml:space="preserve">) for </w:t>
      </w:r>
      <w:r>
        <w:rPr>
          <w:rFonts w:ascii="Times New Roman" w:eastAsia="宋体" w:hAnsi="Times New Roman" w:cs="Times New Roman"/>
          <w:i/>
          <w:iCs/>
          <w:szCs w:val="21"/>
        </w:rPr>
        <w:t>GNAL</w:t>
      </w:r>
      <w:r>
        <w:rPr>
          <w:rFonts w:ascii="Times New Roman" w:eastAsia="宋体" w:hAnsi="Times New Roman" w:cs="Times New Roman"/>
          <w:szCs w:val="21"/>
        </w:rPr>
        <w:t xml:space="preserve"> high and low-expression groups.</w:t>
      </w:r>
      <w:r>
        <w:rPr>
          <w:rFonts w:ascii="Times New Roman" w:hAnsi="Times New Roman" w:cs="Times New Roman"/>
          <w:w w:val="105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IC50: </w:t>
      </w:r>
      <w:r>
        <w:rPr>
          <w:rFonts w:ascii="Times New Roman" w:hAnsi="Times New Roman" w:cs="Times New Roman"/>
          <w:w w:val="105"/>
          <w:szCs w:val="21"/>
        </w:rPr>
        <w:t>half-maximal inhibitory concentration.</w:t>
      </w:r>
      <w:r>
        <w:rPr>
          <w:rFonts w:ascii="Times New Roman" w:eastAsia="宋体" w:hAnsi="Times New Roman" w:cs="Times New Roman"/>
          <w:szCs w:val="21"/>
        </w:rPr>
        <w:t xml:space="preserve"> The 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-</w:t>
      </w:r>
      <w:r>
        <w:rPr>
          <w:rFonts w:ascii="Times New Roman" w:eastAsia="等线" w:hAnsi="Times New Roman" w:cs="Times New Roman"/>
          <w:kern w:val="0"/>
          <w:szCs w:val="21"/>
        </w:rPr>
        <w:t>value</w:t>
      </w:r>
      <w:r>
        <w:rPr>
          <w:rFonts w:ascii="Times New Roman" w:eastAsia="宋体" w:hAnsi="Times New Roman" w:cs="Times New Roman"/>
          <w:szCs w:val="21"/>
        </w:rPr>
        <w:t xml:space="preserve"> is indicated in the figure. 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&lt;​0.05; ***: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&lt;​0.001.</w:t>
      </w:r>
    </w:p>
    <w:p w14:paraId="6647F2CB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p w14:paraId="713A52A6" w14:textId="77777777" w:rsidR="006559C1" w:rsidRDefault="00000000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 xml:space="preserve">Supplementary </w:t>
      </w:r>
      <w:r>
        <w:rPr>
          <w:rFonts w:ascii="Times New Roman" w:eastAsia="宋体" w:hAnsi="Times New Roman" w:hint="eastAsia"/>
          <w:b/>
          <w:bCs/>
          <w:szCs w:val="21"/>
        </w:rPr>
        <w:t>Fig</w:t>
      </w:r>
      <w:r>
        <w:rPr>
          <w:rFonts w:ascii="Times New Roman" w:eastAsia="宋体" w:hAnsi="Times New Roman"/>
          <w:b/>
          <w:bCs/>
          <w:szCs w:val="21"/>
        </w:rPr>
        <w:t xml:space="preserve">. </w:t>
      </w:r>
      <w:r>
        <w:rPr>
          <w:rFonts w:ascii="Times New Roman" w:eastAsia="宋体" w:hAnsi="Times New Roman" w:cs="Times New Roman"/>
          <w:b/>
          <w:bCs/>
          <w:szCs w:val="21"/>
        </w:rPr>
        <w:t>10</w:t>
      </w:r>
      <w:r>
        <w:rPr>
          <w:rFonts w:ascii="Times New Roman" w:eastAsia="宋体" w:hAnsi="Times New Roman"/>
          <w:szCs w:val="21"/>
        </w:rPr>
        <w:t xml:space="preserve"> (</w:t>
      </w:r>
      <w:r>
        <w:rPr>
          <w:rFonts w:ascii="Times New Roman" w:eastAsia="宋体" w:hAnsi="Times New Roman"/>
          <w:b/>
          <w:bCs/>
          <w:szCs w:val="21"/>
        </w:rPr>
        <w:t>A</w:t>
      </w:r>
      <w:r>
        <w:rPr>
          <w:rFonts w:ascii="Times New Roman" w:eastAsia="宋体" w:hAnsi="Times New Roman"/>
          <w:szCs w:val="21"/>
        </w:rPr>
        <w:t xml:space="preserve">) </w:t>
      </w:r>
      <w:r>
        <w:rPr>
          <w:rFonts w:ascii="Times New Roman" w:eastAsia="宋体" w:hAnsi="Times New Roman"/>
          <w:i/>
          <w:iCs/>
          <w:szCs w:val="21"/>
        </w:rPr>
        <w:t>GNAL</w:t>
      </w:r>
      <w:r>
        <w:rPr>
          <w:rFonts w:ascii="Times New Roman" w:eastAsia="宋体" w:hAnsi="Times New Roman"/>
          <w:szCs w:val="21"/>
        </w:rPr>
        <w:t xml:space="preserve"> expression was associated with </w:t>
      </w:r>
      <w:r>
        <w:rPr>
          <w:rFonts w:ascii="Times New Roman" w:eastAsia="宋体" w:hAnsi="Times New Roman"/>
          <w:i/>
          <w:iCs/>
          <w:szCs w:val="21"/>
        </w:rPr>
        <w:t>GNAL</w:t>
      </w:r>
      <w:r>
        <w:rPr>
          <w:rFonts w:ascii="Times New Roman" w:eastAsia="宋体" w:hAnsi="Times New Roman"/>
          <w:szCs w:val="21"/>
        </w:rPr>
        <w:t xml:space="preserve"> DNA methylation in TCGA-LGG across MEXPRESS. The correlation heatmaps of correlations between </w:t>
      </w:r>
      <w:r>
        <w:rPr>
          <w:rFonts w:ascii="Times New Roman" w:eastAsia="宋体" w:hAnsi="Times New Roman"/>
          <w:i/>
          <w:iCs/>
          <w:szCs w:val="21"/>
        </w:rPr>
        <w:t>GNAL</w:t>
      </w:r>
      <w:r>
        <w:rPr>
          <w:rFonts w:ascii="Times New Roman" w:eastAsia="宋体" w:hAnsi="Times New Roman"/>
          <w:szCs w:val="21"/>
        </w:rPr>
        <w:t xml:space="preserve"> and NOCGs</w:t>
      </w:r>
      <w:r>
        <w:rPr>
          <w:rFonts w:ascii="Times New Roman" w:eastAsia="宋体" w:hAnsi="Times New Roman" w:cs="Times New Roman"/>
          <w:szCs w:val="21"/>
        </w:rPr>
        <w:t xml:space="preserve"> from </w:t>
      </w:r>
      <w:r>
        <w:rPr>
          <w:rFonts w:ascii="Times New Roman" w:eastAsia="宋体" w:hAnsi="Times New Roman"/>
          <w:szCs w:val="21"/>
        </w:rPr>
        <w:t>CGGA693 cohort (</w:t>
      </w:r>
      <w:r>
        <w:rPr>
          <w:rFonts w:ascii="Times New Roman" w:eastAsia="宋体" w:hAnsi="Times New Roman"/>
          <w:b/>
          <w:bCs/>
          <w:szCs w:val="21"/>
        </w:rPr>
        <w:t>B</w:t>
      </w:r>
      <w:r>
        <w:rPr>
          <w:rFonts w:ascii="Times New Roman" w:eastAsia="宋体" w:hAnsi="Times New Roman"/>
          <w:szCs w:val="21"/>
        </w:rPr>
        <w:t>).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 xml:space="preserve">NOCG: naris-occlusion controlled genes. </w:t>
      </w:r>
      <w:r>
        <w:rPr>
          <w:rFonts w:ascii="Times New Roman" w:eastAsia="宋体" w:hAnsi="Times New Roman" w:cs="Times New Roman"/>
          <w:szCs w:val="21"/>
        </w:rPr>
        <w:t xml:space="preserve">The 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-</w:t>
      </w:r>
      <w:r>
        <w:rPr>
          <w:rFonts w:ascii="Times New Roman" w:eastAsia="等线" w:hAnsi="Times New Roman" w:cs="Times New Roman"/>
          <w:kern w:val="0"/>
          <w:szCs w:val="21"/>
        </w:rPr>
        <w:t>value</w:t>
      </w:r>
      <w:r>
        <w:rPr>
          <w:rFonts w:ascii="Times New Roman" w:eastAsia="宋体" w:hAnsi="Times New Roman" w:cs="Times New Roman"/>
          <w:szCs w:val="21"/>
        </w:rPr>
        <w:t xml:space="preserve"> is indicated in the figure. 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&lt;​0.05; 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 xml:space="preserve">&lt;​0.01; ***: 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&lt;​0.001.</w:t>
      </w:r>
    </w:p>
    <w:p w14:paraId="6581A2A3" w14:textId="77777777" w:rsidR="006559C1" w:rsidRDefault="006559C1">
      <w:pPr>
        <w:widowControl/>
        <w:spacing w:line="257" w:lineRule="auto"/>
        <w:rPr>
          <w:rFonts w:ascii="Times New Roman" w:eastAsia="宋体" w:hAnsi="Times New Roman" w:cs="Times New Roman"/>
          <w:szCs w:val="21"/>
        </w:rPr>
      </w:pPr>
    </w:p>
    <w:sectPr w:rsidR="006559C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D1C0" w14:textId="77777777" w:rsidR="00645793" w:rsidRDefault="00645793">
      <w:r>
        <w:separator/>
      </w:r>
    </w:p>
  </w:endnote>
  <w:endnote w:type="continuationSeparator" w:id="0">
    <w:p w14:paraId="04AEBD67" w14:textId="77777777" w:rsidR="00645793" w:rsidRDefault="0064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BE88" w14:textId="77777777" w:rsidR="006559C1" w:rsidRDefault="006559C1">
    <w:pPr>
      <w:pStyle w:val="a7"/>
      <w:jc w:val="right"/>
      <w:rPr>
        <w:rFonts w:ascii="Times New Roman" w:hAnsi="Times New Roman" w:cs="Times New Roman"/>
        <w:sz w:val="20"/>
        <w:szCs w:val="20"/>
      </w:rPr>
    </w:pPr>
  </w:p>
  <w:p w14:paraId="6C7F3D46" w14:textId="77777777" w:rsidR="006559C1" w:rsidRDefault="006559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2A696" w14:textId="77777777" w:rsidR="00645793" w:rsidRDefault="00645793">
      <w:r>
        <w:separator/>
      </w:r>
    </w:p>
  </w:footnote>
  <w:footnote w:type="continuationSeparator" w:id="0">
    <w:p w14:paraId="66252859" w14:textId="77777777" w:rsidR="00645793" w:rsidRDefault="00645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MbUwMDMztDA1NjZQ0lEKTi0uzszPAykwMakFALqauq0tAAAA"/>
    <w:docVar w:name="commondata" w:val="eyJoZGlkIjoiYjE2ZTgyMzM2Y2JlNGQwZjJkZTlmM2Q4YmQ2NDc5NWYifQ=="/>
  </w:docVars>
  <w:rsids>
    <w:rsidRoot w:val="001B736B"/>
    <w:rsid w:val="00001BB5"/>
    <w:rsid w:val="000703A1"/>
    <w:rsid w:val="000B66C6"/>
    <w:rsid w:val="000D01A4"/>
    <w:rsid w:val="000E7141"/>
    <w:rsid w:val="00132701"/>
    <w:rsid w:val="00142437"/>
    <w:rsid w:val="001634CC"/>
    <w:rsid w:val="001739F2"/>
    <w:rsid w:val="00176A07"/>
    <w:rsid w:val="00180FAC"/>
    <w:rsid w:val="001A12B0"/>
    <w:rsid w:val="001B2F9B"/>
    <w:rsid w:val="001B736B"/>
    <w:rsid w:val="001C21FE"/>
    <w:rsid w:val="001C43FA"/>
    <w:rsid w:val="001D4F2A"/>
    <w:rsid w:val="001E2AE8"/>
    <w:rsid w:val="00223397"/>
    <w:rsid w:val="00234E7C"/>
    <w:rsid w:val="002626DB"/>
    <w:rsid w:val="00284339"/>
    <w:rsid w:val="00292BE9"/>
    <w:rsid w:val="002A3443"/>
    <w:rsid w:val="002B0FD0"/>
    <w:rsid w:val="002B16C1"/>
    <w:rsid w:val="002B468E"/>
    <w:rsid w:val="002C27F8"/>
    <w:rsid w:val="002C52D6"/>
    <w:rsid w:val="002D0389"/>
    <w:rsid w:val="002D0E99"/>
    <w:rsid w:val="002D103D"/>
    <w:rsid w:val="002D2F66"/>
    <w:rsid w:val="002E5A26"/>
    <w:rsid w:val="002F3729"/>
    <w:rsid w:val="00351BAC"/>
    <w:rsid w:val="003533F7"/>
    <w:rsid w:val="003733CA"/>
    <w:rsid w:val="00383FA1"/>
    <w:rsid w:val="00410E4F"/>
    <w:rsid w:val="004153FD"/>
    <w:rsid w:val="0042268D"/>
    <w:rsid w:val="00432026"/>
    <w:rsid w:val="00441D37"/>
    <w:rsid w:val="0044580D"/>
    <w:rsid w:val="00461632"/>
    <w:rsid w:val="00471631"/>
    <w:rsid w:val="00483A0C"/>
    <w:rsid w:val="004941B5"/>
    <w:rsid w:val="004B4799"/>
    <w:rsid w:val="004B56B4"/>
    <w:rsid w:val="004C362D"/>
    <w:rsid w:val="00501C8E"/>
    <w:rsid w:val="005020CE"/>
    <w:rsid w:val="00530B2C"/>
    <w:rsid w:val="00552237"/>
    <w:rsid w:val="005542FE"/>
    <w:rsid w:val="00564D38"/>
    <w:rsid w:val="005B63E3"/>
    <w:rsid w:val="005C64A6"/>
    <w:rsid w:val="005D4751"/>
    <w:rsid w:val="005D7A22"/>
    <w:rsid w:val="00603547"/>
    <w:rsid w:val="00626129"/>
    <w:rsid w:val="006303D9"/>
    <w:rsid w:val="00634724"/>
    <w:rsid w:val="00641E45"/>
    <w:rsid w:val="00645793"/>
    <w:rsid w:val="006559C1"/>
    <w:rsid w:val="0067073F"/>
    <w:rsid w:val="00683AAA"/>
    <w:rsid w:val="006A0A5B"/>
    <w:rsid w:val="006A23CE"/>
    <w:rsid w:val="006B540A"/>
    <w:rsid w:val="006D7664"/>
    <w:rsid w:val="006E4810"/>
    <w:rsid w:val="006F30E7"/>
    <w:rsid w:val="00707B1F"/>
    <w:rsid w:val="0071280F"/>
    <w:rsid w:val="0072482B"/>
    <w:rsid w:val="00750E36"/>
    <w:rsid w:val="00751255"/>
    <w:rsid w:val="00775B83"/>
    <w:rsid w:val="00782B72"/>
    <w:rsid w:val="007C7185"/>
    <w:rsid w:val="007E0D77"/>
    <w:rsid w:val="007F3CC1"/>
    <w:rsid w:val="00833C64"/>
    <w:rsid w:val="00845C47"/>
    <w:rsid w:val="00850450"/>
    <w:rsid w:val="008879E0"/>
    <w:rsid w:val="00894825"/>
    <w:rsid w:val="008A17EB"/>
    <w:rsid w:val="008E03BB"/>
    <w:rsid w:val="008E5B69"/>
    <w:rsid w:val="008E7473"/>
    <w:rsid w:val="008F41B5"/>
    <w:rsid w:val="008F4D9E"/>
    <w:rsid w:val="009273FC"/>
    <w:rsid w:val="0093439E"/>
    <w:rsid w:val="0093670F"/>
    <w:rsid w:val="00962B8A"/>
    <w:rsid w:val="009672E8"/>
    <w:rsid w:val="00980A23"/>
    <w:rsid w:val="009A3F4E"/>
    <w:rsid w:val="009B43F4"/>
    <w:rsid w:val="00A11164"/>
    <w:rsid w:val="00A12318"/>
    <w:rsid w:val="00A96658"/>
    <w:rsid w:val="00AA371B"/>
    <w:rsid w:val="00AB470E"/>
    <w:rsid w:val="00AC39A8"/>
    <w:rsid w:val="00B37E3B"/>
    <w:rsid w:val="00B427AE"/>
    <w:rsid w:val="00B50206"/>
    <w:rsid w:val="00B50EBD"/>
    <w:rsid w:val="00B76C57"/>
    <w:rsid w:val="00B82D01"/>
    <w:rsid w:val="00BA269C"/>
    <w:rsid w:val="00BB3ECD"/>
    <w:rsid w:val="00BB739E"/>
    <w:rsid w:val="00BC7729"/>
    <w:rsid w:val="00BD6E28"/>
    <w:rsid w:val="00C01251"/>
    <w:rsid w:val="00C152FA"/>
    <w:rsid w:val="00C16A14"/>
    <w:rsid w:val="00C22513"/>
    <w:rsid w:val="00C2379B"/>
    <w:rsid w:val="00C32187"/>
    <w:rsid w:val="00C46263"/>
    <w:rsid w:val="00C46A57"/>
    <w:rsid w:val="00C47BA0"/>
    <w:rsid w:val="00C523D5"/>
    <w:rsid w:val="00C52FA5"/>
    <w:rsid w:val="00C63ADB"/>
    <w:rsid w:val="00C643E1"/>
    <w:rsid w:val="00C7170A"/>
    <w:rsid w:val="00C7269A"/>
    <w:rsid w:val="00C76CFB"/>
    <w:rsid w:val="00C86412"/>
    <w:rsid w:val="00C92981"/>
    <w:rsid w:val="00CC0CC2"/>
    <w:rsid w:val="00CE0D88"/>
    <w:rsid w:val="00CE439A"/>
    <w:rsid w:val="00CF1DDA"/>
    <w:rsid w:val="00CF3576"/>
    <w:rsid w:val="00D14EDA"/>
    <w:rsid w:val="00D15B66"/>
    <w:rsid w:val="00D245E3"/>
    <w:rsid w:val="00D5773B"/>
    <w:rsid w:val="00DB6C10"/>
    <w:rsid w:val="00DF4E79"/>
    <w:rsid w:val="00E07E3F"/>
    <w:rsid w:val="00E1147E"/>
    <w:rsid w:val="00E20CF0"/>
    <w:rsid w:val="00E41EFE"/>
    <w:rsid w:val="00E67321"/>
    <w:rsid w:val="00E862B1"/>
    <w:rsid w:val="00E94BE6"/>
    <w:rsid w:val="00EA1E62"/>
    <w:rsid w:val="00EB2C28"/>
    <w:rsid w:val="00F1380E"/>
    <w:rsid w:val="00F26995"/>
    <w:rsid w:val="00F37B69"/>
    <w:rsid w:val="00F51981"/>
    <w:rsid w:val="00F70359"/>
    <w:rsid w:val="00F73AAC"/>
    <w:rsid w:val="00F75D11"/>
    <w:rsid w:val="00FC57A3"/>
    <w:rsid w:val="00FD03D1"/>
    <w:rsid w:val="08CA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2BF78"/>
  <w15:docId w15:val="{181835AD-4BDC-47DD-A138-45D12C3F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ind w:left="103"/>
      <w:jc w:val="left"/>
    </w:pPr>
    <w:rPr>
      <w:rFonts w:ascii="PMingLiU" w:eastAsia="PMingLiU" w:hAnsi="PMingLiU" w:cs="PMingLiU"/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正文文本 字符"/>
    <w:basedOn w:val="a0"/>
    <w:link w:val="a5"/>
    <w:uiPriority w:val="1"/>
    <w:rPr>
      <w:rFonts w:ascii="PMingLiU" w:eastAsia="PMingLiU" w:hAnsi="PMingLiU" w:cs="PMingLiU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先生</dc:creator>
  <cp:lastModifiedBy>TSP TSP</cp:lastModifiedBy>
  <cp:revision>118</cp:revision>
  <dcterms:created xsi:type="dcterms:W3CDTF">2023-03-09T14:30:00Z</dcterms:created>
  <dcterms:modified xsi:type="dcterms:W3CDTF">2023-12-29T07:39:00Z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CD0698E0B1A54768A4A0BA97962D56EC_12</vt:lpwstr>
  </property>
</Properties>
</file>